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Fees are payable on a monthly basis for the calendar month in advance. For example, if you are paying for September, payment must be made before the 1st of September. Payments can be made in cash, directly to Dazzling stars account, or through a government account.</w:t>
      </w:r>
    </w:p>
    <w:tbl>
      <w:tblPr>
        <w:tblStyle w:val="Table1"/>
        <w:tblW w:w="9489.0" w:type="dxa"/>
        <w:jc w:val="left"/>
        <w:tblLayout w:type="fixed"/>
        <w:tblLook w:val="0400"/>
      </w:tblPr>
      <w:tblGrid>
        <w:gridCol w:w="4115"/>
        <w:gridCol w:w="2951"/>
        <w:gridCol w:w="2423"/>
        <w:tblGridChange w:id="0">
          <w:tblGrid>
            <w:gridCol w:w="4115"/>
            <w:gridCol w:w="2951"/>
            <w:gridCol w:w="2423"/>
          </w:tblGrid>
        </w:tblGridChange>
      </w:tblGrid>
      <w:tr>
        <w:trPr>
          <w:cantSplit w:val="0"/>
          <w:tblHeader w:val="0"/>
        </w:trPr>
        <w:tc>
          <w:tcPr>
            <w:tcBorders>
              <w:top w:color="dddddd" w:space="0" w:sz="6" w:val="single"/>
              <w:left w:color="dddddd" w:space="0" w:sz="6" w:val="single"/>
              <w:bottom w:color="dddddd" w:space="0" w:sz="6" w:val="single"/>
              <w:right w:color="dddddd" w:space="0" w:sz="6" w:val="single"/>
            </w:tcBorders>
            <w:shd w:fill="f4b083" w:val="clear"/>
            <w:tcMar>
              <w:top w:w="120.0" w:type="dxa"/>
              <w:left w:w="120.0" w:type="dxa"/>
              <w:bottom w:w="120.0" w:type="dxa"/>
              <w:right w:w="120.0" w:type="dxa"/>
            </w:tcMar>
          </w:tcPr>
          <w:p w:rsidR="00000000" w:rsidDel="00000000" w:rsidP="00000000" w:rsidRDefault="00000000" w:rsidRPr="00000000" w14:paraId="00000003">
            <w:pPr>
              <w:rPr/>
            </w:pPr>
            <w:r w:rsidDel="00000000" w:rsidR="00000000" w:rsidRPr="00000000">
              <w:rPr>
                <w:b w:val="1"/>
                <w:rtl w:val="0"/>
              </w:rPr>
              <w:t xml:space="preserve"> </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4b083" w:val="clear"/>
            <w:tcMar>
              <w:top w:w="120.0" w:type="dxa"/>
              <w:left w:w="120.0" w:type="dxa"/>
              <w:bottom w:w="120.0" w:type="dxa"/>
              <w:right w:w="120.0" w:type="dxa"/>
            </w:tcMar>
          </w:tcPr>
          <w:p w:rsidR="00000000" w:rsidDel="00000000" w:rsidP="00000000" w:rsidRDefault="00000000" w:rsidRPr="00000000" w14:paraId="00000004">
            <w:pPr>
              <w:rPr>
                <w:b w:val="1"/>
              </w:rPr>
            </w:pPr>
            <w:r w:rsidDel="00000000" w:rsidR="00000000" w:rsidRPr="00000000">
              <w:rPr>
                <w:b w:val="1"/>
                <w:rtl w:val="0"/>
              </w:rPr>
              <w:t xml:space="preserve">2 years</w:t>
            </w:r>
          </w:p>
        </w:tc>
        <w:tc>
          <w:tcPr>
            <w:tcBorders>
              <w:top w:color="dddddd" w:space="0" w:sz="6" w:val="single"/>
              <w:left w:color="dddddd" w:space="0" w:sz="6" w:val="single"/>
              <w:bottom w:color="dddddd" w:space="0" w:sz="6" w:val="single"/>
              <w:right w:color="dddddd" w:space="0" w:sz="6" w:val="single"/>
            </w:tcBorders>
            <w:shd w:fill="f4b083" w:val="clear"/>
            <w:tcMar>
              <w:top w:w="120.0" w:type="dxa"/>
              <w:left w:w="120.0" w:type="dxa"/>
              <w:bottom w:w="120.0" w:type="dxa"/>
              <w:right w:w="120.0" w:type="dxa"/>
            </w:tcMar>
          </w:tcPr>
          <w:p w:rsidR="00000000" w:rsidDel="00000000" w:rsidP="00000000" w:rsidRDefault="00000000" w:rsidRPr="00000000" w14:paraId="00000005">
            <w:pPr>
              <w:rPr>
                <w:b w:val="1"/>
              </w:rPr>
            </w:pPr>
            <w:r w:rsidDel="00000000" w:rsidR="00000000" w:rsidRPr="00000000">
              <w:rPr>
                <w:b w:val="1"/>
                <w:rtl w:val="0"/>
              </w:rPr>
              <w:t xml:space="preserve">3 - 5 years</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8eaadb" w:val="clear"/>
            <w:tcMar>
              <w:top w:w="120.0" w:type="dxa"/>
              <w:left w:w="120.0" w:type="dxa"/>
              <w:bottom w:w="120.0" w:type="dxa"/>
              <w:right w:w="120.0" w:type="dxa"/>
            </w:tcMar>
          </w:tcPr>
          <w:p w:rsidR="00000000" w:rsidDel="00000000" w:rsidP="00000000" w:rsidRDefault="00000000" w:rsidRPr="00000000" w14:paraId="00000006">
            <w:pPr>
              <w:rPr>
                <w:b w:val="1"/>
              </w:rPr>
            </w:pPr>
            <w:r w:rsidDel="00000000" w:rsidR="00000000" w:rsidRPr="00000000">
              <w:rPr>
                <w:b w:val="1"/>
                <w:rtl w:val="0"/>
              </w:rPr>
              <w:t xml:space="preserve">Full Week fees</w:t>
              <w:br w:type="textWrapping"/>
              <w:t xml:space="preserve">Monday to Friday</w:t>
              <w:br w:type="textWrapping"/>
              <w:t xml:space="preserve">7:30am-6:00pm</w:t>
            </w:r>
          </w:p>
        </w:tc>
        <w:tc>
          <w:tcPr>
            <w:tcBorders>
              <w:top w:color="dddddd" w:space="0" w:sz="6" w:val="single"/>
              <w:left w:color="dddddd" w:space="0" w:sz="6" w:val="single"/>
              <w:bottom w:color="dddddd" w:space="0" w:sz="6" w:val="single"/>
              <w:right w:color="dddddd" w:space="0" w:sz="6" w:val="single"/>
            </w:tcBorders>
            <w:shd w:fill="8eaadb" w:val="clear"/>
            <w:tcMar>
              <w:top w:w="120.0" w:type="dxa"/>
              <w:left w:w="120.0" w:type="dxa"/>
              <w:bottom w:w="120.0" w:type="dxa"/>
              <w:right w:w="120.0" w:type="dxa"/>
            </w:tcMar>
          </w:tcPr>
          <w:p w:rsidR="00000000" w:rsidDel="00000000" w:rsidP="00000000" w:rsidRDefault="00000000" w:rsidRPr="00000000" w14:paraId="00000007">
            <w:pPr>
              <w:rPr>
                <w:b w:val="1"/>
              </w:rPr>
            </w:pPr>
            <w:r w:rsidDel="00000000" w:rsidR="00000000" w:rsidRPr="00000000">
              <w:rPr>
                <w:b w:val="1"/>
                <w:rtl w:val="0"/>
              </w:rPr>
              <w:t xml:space="preserve">£300</w:t>
            </w:r>
          </w:p>
        </w:tc>
        <w:tc>
          <w:tcPr>
            <w:tcBorders>
              <w:top w:color="dddddd" w:space="0" w:sz="6" w:val="single"/>
              <w:left w:color="dddddd" w:space="0" w:sz="6" w:val="single"/>
              <w:bottom w:color="dddddd" w:space="0" w:sz="6" w:val="single"/>
              <w:right w:color="dddddd" w:space="0" w:sz="6" w:val="single"/>
            </w:tcBorders>
            <w:shd w:fill="8eaadb" w:val="clear"/>
            <w:tcMar>
              <w:top w:w="120.0" w:type="dxa"/>
              <w:left w:w="120.0" w:type="dxa"/>
              <w:bottom w:w="120.0" w:type="dxa"/>
              <w:right w:w="120.0" w:type="dxa"/>
            </w:tcMar>
          </w:tcPr>
          <w:p w:rsidR="00000000" w:rsidDel="00000000" w:rsidP="00000000" w:rsidRDefault="00000000" w:rsidRPr="00000000" w14:paraId="00000008">
            <w:pPr>
              <w:rPr>
                <w:b w:val="1"/>
              </w:rPr>
            </w:pPr>
            <w:r w:rsidDel="00000000" w:rsidR="00000000" w:rsidRPr="00000000">
              <w:rPr>
                <w:b w:val="1"/>
                <w:rtl w:val="0"/>
              </w:rPr>
              <w:t xml:space="preserve">£280</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00b050" w:val="clear"/>
            <w:tcMar>
              <w:top w:w="120.0" w:type="dxa"/>
              <w:left w:w="120.0" w:type="dxa"/>
              <w:bottom w:w="120.0" w:type="dxa"/>
              <w:right w:w="120.0" w:type="dxa"/>
            </w:tcMar>
          </w:tcPr>
          <w:p w:rsidR="00000000" w:rsidDel="00000000" w:rsidP="00000000" w:rsidRDefault="00000000" w:rsidRPr="00000000" w14:paraId="00000009">
            <w:pPr>
              <w:rPr>
                <w:b w:val="1"/>
              </w:rPr>
            </w:pPr>
            <w:r w:rsidDel="00000000" w:rsidR="00000000" w:rsidRPr="00000000">
              <w:rPr>
                <w:b w:val="1"/>
                <w:rtl w:val="0"/>
              </w:rPr>
              <w:t xml:space="preserve">Daily rate</w:t>
              <w:br w:type="textWrapping"/>
              <w:t xml:space="preserve">7:30am-6:00pm</w:t>
            </w:r>
          </w:p>
        </w:tc>
        <w:tc>
          <w:tcPr>
            <w:tcBorders>
              <w:top w:color="dddddd" w:space="0" w:sz="6" w:val="single"/>
              <w:left w:color="dddddd" w:space="0" w:sz="6" w:val="single"/>
              <w:bottom w:color="dddddd" w:space="0" w:sz="6" w:val="single"/>
              <w:right w:color="dddddd" w:space="0" w:sz="6" w:val="single"/>
            </w:tcBorders>
            <w:shd w:fill="00b050" w:val="clear"/>
            <w:tcMar>
              <w:top w:w="120.0" w:type="dxa"/>
              <w:left w:w="120.0" w:type="dxa"/>
              <w:bottom w:w="120.0" w:type="dxa"/>
              <w:right w:w="120.0" w:type="dxa"/>
            </w:tcMar>
          </w:tcPr>
          <w:p w:rsidR="00000000" w:rsidDel="00000000" w:rsidP="00000000" w:rsidRDefault="00000000" w:rsidRPr="00000000" w14:paraId="0000000A">
            <w:pPr>
              <w:rPr>
                <w:b w:val="1"/>
              </w:rPr>
            </w:pPr>
            <w:r w:rsidDel="00000000" w:rsidR="00000000" w:rsidRPr="00000000">
              <w:rPr>
                <w:b w:val="1"/>
                <w:rtl w:val="0"/>
              </w:rPr>
              <w:t xml:space="preserve">£80</w:t>
            </w:r>
          </w:p>
        </w:tc>
        <w:tc>
          <w:tcPr>
            <w:tcBorders>
              <w:top w:color="dddddd" w:space="0" w:sz="6" w:val="single"/>
              <w:left w:color="dddddd" w:space="0" w:sz="6" w:val="single"/>
              <w:bottom w:color="dddddd" w:space="0" w:sz="6" w:val="single"/>
              <w:right w:color="dddddd" w:space="0" w:sz="6" w:val="single"/>
            </w:tcBorders>
            <w:shd w:fill="00b050" w:val="clear"/>
            <w:tcMar>
              <w:top w:w="120.0" w:type="dxa"/>
              <w:left w:w="120.0" w:type="dxa"/>
              <w:bottom w:w="120.0" w:type="dxa"/>
              <w:right w:w="120.0" w:type="dxa"/>
            </w:tcMar>
          </w:tcPr>
          <w:p w:rsidR="00000000" w:rsidDel="00000000" w:rsidP="00000000" w:rsidRDefault="00000000" w:rsidRPr="00000000" w14:paraId="0000000B">
            <w:pPr>
              <w:rPr>
                <w:b w:val="1"/>
              </w:rPr>
            </w:pPr>
            <w:r w:rsidDel="00000000" w:rsidR="00000000" w:rsidRPr="00000000">
              <w:rPr>
                <w:b w:val="1"/>
                <w:rtl w:val="0"/>
              </w:rPr>
              <w:t xml:space="preserve">£60</w:t>
            </w:r>
          </w:p>
        </w:tc>
      </w:tr>
      <w:tr>
        <w:trPr>
          <w:cantSplit w:val="0"/>
          <w:trHeight w:val="1252" w:hRule="atLeast"/>
          <w:tblHeader w:val="0"/>
        </w:trPr>
        <w:tc>
          <w:tcPr>
            <w:tcBorders>
              <w:top w:color="dddddd" w:space="0" w:sz="6" w:val="single"/>
              <w:left w:color="dddddd" w:space="0" w:sz="6" w:val="single"/>
              <w:bottom w:color="dddddd" w:space="0" w:sz="6" w:val="single"/>
              <w:right w:color="dddddd" w:space="0" w:sz="6" w:val="single"/>
            </w:tcBorders>
            <w:shd w:fill="c45911" w:val="clear"/>
            <w:tcMar>
              <w:top w:w="120.0" w:type="dxa"/>
              <w:left w:w="120.0" w:type="dxa"/>
              <w:bottom w:w="120.0" w:type="dxa"/>
              <w:right w:w="120.0" w:type="dxa"/>
            </w:tcMar>
          </w:tcPr>
          <w:p w:rsidR="00000000" w:rsidDel="00000000" w:rsidP="00000000" w:rsidRDefault="00000000" w:rsidRPr="00000000" w14:paraId="0000000C">
            <w:pPr>
              <w:rPr>
                <w:b w:val="1"/>
              </w:rPr>
            </w:pPr>
            <w:r w:rsidDel="00000000" w:rsidR="00000000" w:rsidRPr="00000000">
              <w:rPr>
                <w:b w:val="1"/>
                <w:rtl w:val="0"/>
              </w:rPr>
              <w:t xml:space="preserve">Morning session</w:t>
              <w:br w:type="textWrapping"/>
              <w:t xml:space="preserve">8:00am- 1:00pm</w:t>
            </w:r>
          </w:p>
        </w:tc>
        <w:tc>
          <w:tcPr>
            <w:tcBorders>
              <w:top w:color="dddddd" w:space="0" w:sz="6" w:val="single"/>
              <w:left w:color="dddddd" w:space="0" w:sz="6" w:val="single"/>
              <w:bottom w:color="dddddd" w:space="0" w:sz="6" w:val="single"/>
              <w:right w:color="dddddd" w:space="0" w:sz="6" w:val="single"/>
            </w:tcBorders>
            <w:shd w:fill="c45911" w:val="clear"/>
            <w:tcMar>
              <w:top w:w="120.0" w:type="dxa"/>
              <w:left w:w="120.0" w:type="dxa"/>
              <w:bottom w:w="120.0" w:type="dxa"/>
              <w:right w:w="120.0" w:type="dxa"/>
            </w:tcMar>
          </w:tcPr>
          <w:p w:rsidR="00000000" w:rsidDel="00000000" w:rsidP="00000000" w:rsidRDefault="00000000" w:rsidRPr="00000000" w14:paraId="0000000D">
            <w:pPr>
              <w:rPr>
                <w:b w:val="1"/>
              </w:rPr>
            </w:pPr>
            <w:r w:rsidDel="00000000" w:rsidR="00000000" w:rsidRPr="00000000">
              <w:rPr>
                <w:b w:val="1"/>
                <w:rtl w:val="0"/>
              </w:rPr>
              <w:t xml:space="preserve">£50</w:t>
            </w:r>
          </w:p>
        </w:tc>
        <w:tc>
          <w:tcPr>
            <w:tcBorders>
              <w:top w:color="dddddd" w:space="0" w:sz="6" w:val="single"/>
              <w:left w:color="dddddd" w:space="0" w:sz="6" w:val="single"/>
              <w:bottom w:color="dddddd" w:space="0" w:sz="6" w:val="single"/>
              <w:right w:color="dddddd" w:space="0" w:sz="6" w:val="single"/>
            </w:tcBorders>
            <w:shd w:fill="c45911" w:val="clear"/>
            <w:tcMar>
              <w:top w:w="120.0" w:type="dxa"/>
              <w:left w:w="120.0" w:type="dxa"/>
              <w:bottom w:w="120.0" w:type="dxa"/>
              <w:right w:w="120.0" w:type="dxa"/>
            </w:tcMar>
          </w:tcPr>
          <w:p w:rsidR="00000000" w:rsidDel="00000000" w:rsidP="00000000" w:rsidRDefault="00000000" w:rsidRPr="00000000" w14:paraId="0000000E">
            <w:pPr>
              <w:rPr>
                <w:b w:val="1"/>
              </w:rPr>
            </w:pPr>
            <w:r w:rsidDel="00000000" w:rsidR="00000000" w:rsidRPr="00000000">
              <w:rPr>
                <w:b w:val="1"/>
                <w:rtl w:val="0"/>
              </w:rPr>
              <w:t xml:space="preserve">£40</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00b0f0" w:val="clear"/>
            <w:tcMar>
              <w:top w:w="120.0" w:type="dxa"/>
              <w:left w:w="120.0" w:type="dxa"/>
              <w:bottom w:w="120.0" w:type="dxa"/>
              <w:right w:w="120.0" w:type="dxa"/>
            </w:tcMar>
          </w:tcPr>
          <w:p w:rsidR="00000000" w:rsidDel="00000000" w:rsidP="00000000" w:rsidRDefault="00000000" w:rsidRPr="00000000" w14:paraId="0000000F">
            <w:pPr>
              <w:rPr>
                <w:b w:val="1"/>
              </w:rPr>
            </w:pPr>
            <w:r w:rsidDel="00000000" w:rsidR="00000000" w:rsidRPr="00000000">
              <w:rPr>
                <w:b w:val="1"/>
                <w:rtl w:val="0"/>
              </w:rPr>
              <w:t xml:space="preserve">Afternoon session</w:t>
              <w:br w:type="textWrapping"/>
              <w:t xml:space="preserve">1:00pm – 6:00pm</w:t>
            </w:r>
          </w:p>
        </w:tc>
        <w:tc>
          <w:tcPr>
            <w:tcBorders>
              <w:top w:color="dddddd" w:space="0" w:sz="6" w:val="single"/>
              <w:left w:color="dddddd" w:space="0" w:sz="6" w:val="single"/>
              <w:bottom w:color="dddddd" w:space="0" w:sz="6" w:val="single"/>
              <w:right w:color="dddddd" w:space="0" w:sz="6" w:val="single"/>
            </w:tcBorders>
            <w:shd w:fill="00b0f0" w:val="clear"/>
            <w:tcMar>
              <w:top w:w="120.0" w:type="dxa"/>
              <w:left w:w="120.0" w:type="dxa"/>
              <w:bottom w:w="120.0" w:type="dxa"/>
              <w:right w:w="120.0" w:type="dxa"/>
            </w:tcMar>
          </w:tcPr>
          <w:p w:rsidR="00000000" w:rsidDel="00000000" w:rsidP="00000000" w:rsidRDefault="00000000" w:rsidRPr="00000000" w14:paraId="00000010">
            <w:pPr>
              <w:rPr>
                <w:b w:val="1"/>
              </w:rPr>
            </w:pPr>
            <w:r w:rsidDel="00000000" w:rsidR="00000000" w:rsidRPr="00000000">
              <w:rPr>
                <w:b w:val="1"/>
                <w:rtl w:val="0"/>
              </w:rPr>
              <w:t xml:space="preserve">£50</w:t>
            </w:r>
          </w:p>
        </w:tc>
        <w:tc>
          <w:tcPr>
            <w:tcBorders>
              <w:top w:color="dddddd" w:space="0" w:sz="6" w:val="single"/>
              <w:left w:color="dddddd" w:space="0" w:sz="6" w:val="single"/>
              <w:bottom w:color="dddddd" w:space="0" w:sz="6" w:val="single"/>
              <w:right w:color="dddddd" w:space="0" w:sz="6" w:val="single"/>
            </w:tcBorders>
            <w:shd w:fill="00b0f0" w:val="clear"/>
            <w:tcMar>
              <w:top w:w="120.0" w:type="dxa"/>
              <w:left w:w="120.0" w:type="dxa"/>
              <w:bottom w:w="120.0" w:type="dxa"/>
              <w:right w:w="120.0" w:type="dxa"/>
            </w:tcMar>
          </w:tcPr>
          <w:p w:rsidR="00000000" w:rsidDel="00000000" w:rsidP="00000000" w:rsidRDefault="00000000" w:rsidRPr="00000000" w14:paraId="00000011">
            <w:pPr>
              <w:rPr>
                <w:b w:val="1"/>
              </w:rPr>
            </w:pPr>
            <w:r w:rsidDel="00000000" w:rsidR="00000000" w:rsidRPr="00000000">
              <w:rPr>
                <w:b w:val="1"/>
                <w:rtl w:val="0"/>
              </w:rPr>
              <w:t xml:space="preserve">£40</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bf8f00" w:val="clear"/>
            <w:tcMar>
              <w:top w:w="120.0" w:type="dxa"/>
              <w:left w:w="120.0" w:type="dxa"/>
              <w:bottom w:w="120.0" w:type="dxa"/>
              <w:right w:w="120.0" w:type="dxa"/>
            </w:tcMar>
          </w:tcPr>
          <w:p w:rsidR="00000000" w:rsidDel="00000000" w:rsidP="00000000" w:rsidRDefault="00000000" w:rsidRPr="00000000" w14:paraId="00000012">
            <w:pPr>
              <w:rPr>
                <w:b w:val="1"/>
              </w:rPr>
            </w:pPr>
            <w:r w:rsidDel="00000000" w:rsidR="00000000" w:rsidRPr="00000000">
              <w:rPr>
                <w:b w:val="1"/>
                <w:rtl w:val="0"/>
              </w:rPr>
              <w:t xml:space="preserve">Fixed Monthly fee for 5 days:</w:t>
            </w:r>
          </w:p>
        </w:tc>
        <w:tc>
          <w:tcPr>
            <w:tcBorders>
              <w:top w:color="dddddd" w:space="0" w:sz="6" w:val="single"/>
              <w:left w:color="dddddd" w:space="0" w:sz="6" w:val="single"/>
              <w:bottom w:color="dddddd" w:space="0" w:sz="6" w:val="single"/>
              <w:right w:color="dddddd" w:space="0" w:sz="6" w:val="single"/>
            </w:tcBorders>
            <w:shd w:fill="bf8f00" w:val="clear"/>
            <w:tcMar>
              <w:top w:w="120.0" w:type="dxa"/>
              <w:left w:w="120.0" w:type="dxa"/>
              <w:bottom w:w="120.0" w:type="dxa"/>
              <w:right w:w="120.0" w:type="dxa"/>
            </w:tcMar>
          </w:tcPr>
          <w:p w:rsidR="00000000" w:rsidDel="00000000" w:rsidP="00000000" w:rsidRDefault="00000000" w:rsidRPr="00000000" w14:paraId="00000013">
            <w:pPr>
              <w:rPr>
                <w:b w:val="1"/>
              </w:rPr>
            </w:pPr>
            <w:r w:rsidDel="00000000" w:rsidR="00000000" w:rsidRPr="00000000">
              <w:rPr>
                <w:b w:val="1"/>
                <w:rtl w:val="0"/>
              </w:rPr>
              <w:t xml:space="preserve">£1,200</w:t>
            </w:r>
          </w:p>
        </w:tc>
        <w:tc>
          <w:tcPr>
            <w:tcBorders>
              <w:top w:color="dddddd" w:space="0" w:sz="6" w:val="single"/>
              <w:left w:color="dddddd" w:space="0" w:sz="6" w:val="single"/>
              <w:bottom w:color="dddddd" w:space="0" w:sz="6" w:val="single"/>
              <w:right w:color="dddddd" w:space="0" w:sz="6" w:val="single"/>
            </w:tcBorders>
            <w:shd w:fill="bf8f00" w:val="clear"/>
            <w:tcMar>
              <w:top w:w="120.0" w:type="dxa"/>
              <w:left w:w="120.0" w:type="dxa"/>
              <w:bottom w:w="120.0" w:type="dxa"/>
              <w:right w:w="120.0" w:type="dxa"/>
            </w:tcMar>
          </w:tcPr>
          <w:p w:rsidR="00000000" w:rsidDel="00000000" w:rsidP="00000000" w:rsidRDefault="00000000" w:rsidRPr="00000000" w14:paraId="00000014">
            <w:pPr>
              <w:rPr>
                <w:b w:val="1"/>
              </w:rPr>
            </w:pPr>
            <w:r w:rsidDel="00000000" w:rsidR="00000000" w:rsidRPr="00000000">
              <w:rPr>
                <w:b w:val="1"/>
                <w:rtl w:val="0"/>
              </w:rPr>
              <w:t xml:space="preserve">£1,130</w:t>
            </w:r>
          </w:p>
        </w:tc>
      </w:tr>
    </w:tbl>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 Dazzling Stars fees are inclusive of 5 differant fruits, drinks, and snacks prepared on-site</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 10% Sibling Discounts Available for the eldest sibling.</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 We accept Childcare Vouchers, Tax-free Childcare, Student Grants, and all forms of childcare payments.</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 15 and 30 hours of government funding available for eligible children.</w:t>
      </w:r>
    </w:p>
    <w:p w:rsidR="00000000" w:rsidDel="00000000" w:rsidP="00000000" w:rsidRDefault="00000000" w:rsidRPr="00000000" w14:paraId="00000019">
      <w:pPr>
        <w:rPr>
          <w:b w:val="1"/>
        </w:rPr>
      </w:pPr>
      <w:r w:rsidDel="00000000" w:rsidR="00000000" w:rsidRPr="00000000">
        <w:rPr>
          <w:b w:val="1"/>
          <w:rtl w:val="0"/>
        </w:rPr>
        <w:t xml:space="preserve">FREE Early Education for two-year-olds</w:t>
      </w:r>
    </w:p>
    <w:p w:rsidR="00000000" w:rsidDel="00000000" w:rsidP="00000000" w:rsidRDefault="00000000" w:rsidRPr="00000000" w14:paraId="0000001A">
      <w:pPr>
        <w:rPr/>
      </w:pPr>
      <w:r w:rsidDel="00000000" w:rsidR="00000000" w:rsidRPr="00000000">
        <w:rPr>
          <w:rtl w:val="0"/>
        </w:rPr>
        <w:t xml:space="preserve">Some two-year-olds in the borough can get 570 hours of free early education or childcare per year. It’s usually taken as 15 hours a week for 38 weeks of the year. </w:t>
      </w:r>
    </w:p>
    <w:p w:rsidR="00000000" w:rsidDel="00000000" w:rsidP="00000000" w:rsidRDefault="00000000" w:rsidRPr="00000000" w14:paraId="0000001B">
      <w:pPr>
        <w:rPr/>
      </w:pPr>
      <w:r w:rsidDel="00000000" w:rsidR="00000000" w:rsidRPr="00000000">
        <w:rPr>
          <w:rtl w:val="0"/>
        </w:rPr>
        <w:t xml:space="preserve">Your two-year-old can get free early education and childcare if you live in England and either:</w:t>
      </w:r>
    </w:p>
    <w:p w:rsidR="00000000" w:rsidDel="00000000" w:rsidP="00000000" w:rsidRDefault="00000000" w:rsidRPr="00000000" w14:paraId="0000001C">
      <w:pPr>
        <w:rPr/>
      </w:pPr>
      <w:r w:rsidDel="00000000" w:rsidR="00000000" w:rsidRPr="00000000">
        <w:rPr>
          <w:rtl w:val="0"/>
        </w:rPr>
        <w:t xml:space="preserve"> If you’re getting benefits</w:t>
      </w:r>
    </w:p>
    <w:p w:rsidR="00000000" w:rsidDel="00000000" w:rsidP="00000000" w:rsidRDefault="00000000" w:rsidRPr="00000000" w14:paraId="0000001D">
      <w:pPr>
        <w:rPr/>
      </w:pPr>
      <w:r w:rsidDel="00000000" w:rsidR="00000000" w:rsidRPr="00000000">
        <w:rPr>
          <w:rtl w:val="0"/>
        </w:rPr>
        <w:t xml:space="preserve">·        Income support</w:t>
      </w:r>
    </w:p>
    <w:p w:rsidR="00000000" w:rsidDel="00000000" w:rsidP="00000000" w:rsidRDefault="00000000" w:rsidRPr="00000000" w14:paraId="0000001E">
      <w:pPr>
        <w:rPr/>
      </w:pPr>
      <w:r w:rsidDel="00000000" w:rsidR="00000000" w:rsidRPr="00000000">
        <w:rPr>
          <w:rtl w:val="0"/>
        </w:rPr>
        <w:t xml:space="preserve">·        Income-based jobseeker’s allowance (not eligible if on contribution-based jobseeker’s allowance)</w:t>
      </w:r>
    </w:p>
    <w:p w:rsidR="00000000" w:rsidDel="00000000" w:rsidP="00000000" w:rsidRDefault="00000000" w:rsidRPr="00000000" w14:paraId="0000001F">
      <w:pPr>
        <w:rPr/>
      </w:pPr>
      <w:r w:rsidDel="00000000" w:rsidR="00000000" w:rsidRPr="00000000">
        <w:rPr>
          <w:rtl w:val="0"/>
        </w:rPr>
        <w:t xml:space="preserve">·        Income-related employment and support allowance (not eligible if on contribution-based employment support allowance)​</w:t>
      </w:r>
    </w:p>
    <w:p w:rsidR="00000000" w:rsidDel="00000000" w:rsidP="00000000" w:rsidRDefault="00000000" w:rsidRPr="00000000" w14:paraId="00000020">
      <w:pPr>
        <w:rPr/>
      </w:pPr>
      <w:r w:rsidDel="00000000" w:rsidR="00000000" w:rsidRPr="00000000">
        <w:rPr>
          <w:rtl w:val="0"/>
        </w:rPr>
        <w:t xml:space="preserve">·        Tax credits (with an annual income of under £16,190 before tax)</w:t>
      </w:r>
    </w:p>
    <w:p w:rsidR="00000000" w:rsidDel="00000000" w:rsidP="00000000" w:rsidRDefault="00000000" w:rsidRPr="00000000" w14:paraId="00000021">
      <w:pPr>
        <w:rPr/>
      </w:pPr>
      <w:r w:rsidDel="00000000" w:rsidR="00000000" w:rsidRPr="00000000">
        <w:rPr>
          <w:rtl w:val="0"/>
        </w:rPr>
        <w:t xml:space="preserve">·        Support under part 6 of the Immigration and Asylum Act</w:t>
      </w:r>
    </w:p>
    <w:p w:rsidR="00000000" w:rsidDel="00000000" w:rsidP="00000000" w:rsidRDefault="00000000" w:rsidRPr="00000000" w14:paraId="00000022">
      <w:pPr>
        <w:rPr/>
      </w:pPr>
      <w:r w:rsidDel="00000000" w:rsidR="00000000" w:rsidRPr="00000000">
        <w:rPr>
          <w:rtl w:val="0"/>
        </w:rPr>
        <w:t xml:space="preserve">·        The guaranteed element of state pension credit</w:t>
      </w:r>
    </w:p>
    <w:p w:rsidR="00000000" w:rsidDel="00000000" w:rsidP="00000000" w:rsidRDefault="00000000" w:rsidRPr="00000000" w14:paraId="00000023">
      <w:pPr>
        <w:rPr/>
      </w:pPr>
      <w:r w:rsidDel="00000000" w:rsidR="00000000" w:rsidRPr="00000000">
        <w:rPr>
          <w:rtl w:val="0"/>
        </w:rPr>
        <w:t xml:space="preserve">·        Universal credit – if you and your partner have a combined income from work of less than £15,400 a year after tax</w:t>
      </w:r>
    </w:p>
    <w:p w:rsidR="00000000" w:rsidDel="00000000" w:rsidP="00000000" w:rsidRDefault="00000000" w:rsidRPr="00000000" w14:paraId="00000024">
      <w:pPr>
        <w:rPr/>
      </w:pPr>
      <w:r w:rsidDel="00000000" w:rsidR="00000000" w:rsidRPr="00000000">
        <w:rPr>
          <w:rtl w:val="0"/>
        </w:rPr>
        <w:t xml:space="preserve">·       Working tax credit four-week run-on </w:t>
      </w:r>
    </w:p>
    <w:p w:rsidR="00000000" w:rsidDel="00000000" w:rsidP="00000000" w:rsidRDefault="00000000" w:rsidRPr="00000000" w14:paraId="00000025">
      <w:pPr>
        <w:rPr/>
      </w:pPr>
      <w:hyperlink r:id="rId6">
        <w:r w:rsidDel="00000000" w:rsidR="00000000" w:rsidRPr="00000000">
          <w:rPr>
            <w:color w:val="0000ff"/>
            <w:u w:val="single"/>
            <w:rtl w:val="0"/>
          </w:rPr>
          <w:t xml:space="preserve">www.childcarechoices.gov.uk</w:t>
        </w:r>
      </w:hyperlink>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Extended 3-4-Year-old 30-hour entitlement</w:t>
      </w:r>
    </w:p>
    <w:p w:rsidR="00000000" w:rsidDel="00000000" w:rsidP="00000000" w:rsidRDefault="00000000" w:rsidRPr="00000000" w14:paraId="00000027">
      <w:pPr>
        <w:rPr/>
      </w:pPr>
      <w:r w:rsidDel="00000000" w:rsidR="00000000" w:rsidRPr="00000000">
        <w:rPr>
          <w:rtl w:val="0"/>
        </w:rPr>
        <w:t xml:space="preserve">The 15-hour universal free childcare is not dependant on your financial or employment circumstances; this is available to ALL 3-4-year-olds.</w:t>
      </w:r>
    </w:p>
    <w:p w:rsidR="00000000" w:rsidDel="00000000" w:rsidP="00000000" w:rsidRDefault="00000000" w:rsidRPr="00000000" w14:paraId="00000028">
      <w:pPr>
        <w:rPr/>
      </w:pPr>
      <w:r w:rsidDel="00000000" w:rsidR="00000000" w:rsidRPr="00000000">
        <w:rPr>
          <w:rtl w:val="0"/>
        </w:rPr>
        <w:t xml:space="preserve">​Children are eligible from the term following their 3rd birthday until they reach compulsory school age whether they take up the universal 15 hours or extended 30-hour entitlement.</w:t>
      </w:r>
    </w:p>
    <w:p w:rsidR="00000000" w:rsidDel="00000000" w:rsidP="00000000" w:rsidRDefault="00000000" w:rsidRPr="00000000" w14:paraId="00000029">
      <w:pPr>
        <w:rPr/>
      </w:pPr>
      <w:r w:rsidDel="00000000" w:rsidR="00000000" w:rsidRPr="00000000">
        <w:rPr>
          <w:b w:val="1"/>
          <w:rtl w:val="0"/>
        </w:rPr>
        <w:t xml:space="preserve">Month child was born                                       School term free childcare can start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​Between 1st January &amp; 31st March               From 1st April (summer term)</w:t>
      </w:r>
    </w:p>
    <w:p w:rsidR="00000000" w:rsidDel="00000000" w:rsidP="00000000" w:rsidRDefault="00000000" w:rsidRPr="00000000" w14:paraId="0000002B">
      <w:pPr>
        <w:rPr/>
      </w:pPr>
      <w:r w:rsidDel="00000000" w:rsidR="00000000" w:rsidRPr="00000000">
        <w:rPr>
          <w:rtl w:val="0"/>
        </w:rPr>
        <w:t xml:space="preserve">Between 1st April &amp; 31st August                    From 1st September (autumn term)</w:t>
      </w:r>
    </w:p>
    <w:p w:rsidR="00000000" w:rsidDel="00000000" w:rsidP="00000000" w:rsidRDefault="00000000" w:rsidRPr="00000000" w14:paraId="0000002C">
      <w:pPr>
        <w:rPr/>
      </w:pPr>
      <w:r w:rsidDel="00000000" w:rsidR="00000000" w:rsidRPr="00000000">
        <w:rPr>
          <w:rtl w:val="0"/>
        </w:rPr>
        <w:t xml:space="preserve">Between 1st September &amp; 31st August        From 1st January (spring term)</w:t>
      </w:r>
    </w:p>
    <w:p w:rsidR="00000000" w:rsidDel="00000000" w:rsidP="00000000" w:rsidRDefault="00000000" w:rsidRPr="00000000" w14:paraId="0000002D">
      <w:pPr>
        <w:rPr/>
      </w:pPr>
      <w:r w:rsidDel="00000000" w:rsidR="00000000" w:rsidRPr="00000000">
        <w:rPr>
          <w:b w:val="1"/>
          <w:rtl w:val="0"/>
        </w:rPr>
        <w:t xml:space="preserve">30 hours of funded childcare</w:t>
      </w:r>
      <w:r w:rsidDel="00000000" w:rsidR="00000000" w:rsidRPr="00000000">
        <w:rPr>
          <w:rtl w:val="0"/>
        </w:rPr>
        <w:t xml:space="preserve"> is intended to support working parents with the cost of childcare.</w:t>
      </w:r>
    </w:p>
    <w:p w:rsidR="00000000" w:rsidDel="00000000" w:rsidP="00000000" w:rsidRDefault="00000000" w:rsidRPr="00000000" w14:paraId="0000002E">
      <w:pPr>
        <w:rPr/>
      </w:pPr>
      <w:r w:rsidDel="00000000" w:rsidR="00000000" w:rsidRPr="00000000">
        <w:rPr>
          <w:rtl w:val="0"/>
        </w:rPr>
        <w:t xml:space="preserve">Designed to enable parents to return to work or to work additional hours.</w:t>
      </w:r>
    </w:p>
    <w:p w:rsidR="00000000" w:rsidDel="00000000" w:rsidP="00000000" w:rsidRDefault="00000000" w:rsidRPr="00000000" w14:paraId="0000002F">
      <w:pPr>
        <w:rPr>
          <w:b w:val="1"/>
          <w:u w:val="single"/>
        </w:rPr>
      </w:pPr>
      <w:r w:rsidDel="00000000" w:rsidR="00000000" w:rsidRPr="00000000">
        <w:rPr>
          <w:u w:val="single"/>
          <w:rtl w:val="0"/>
        </w:rPr>
        <w:t xml:space="preserve">​</w:t>
      </w:r>
      <w:r w:rsidDel="00000000" w:rsidR="00000000" w:rsidRPr="00000000">
        <w:rPr>
          <w:b w:val="1"/>
          <w:u w:val="single"/>
          <w:rtl w:val="0"/>
        </w:rPr>
        <w:t xml:space="preserve">30 hours Extended Entitlement Checklist</w:t>
      </w:r>
    </w:p>
    <w:p w:rsidR="00000000" w:rsidDel="00000000" w:rsidP="00000000" w:rsidRDefault="00000000" w:rsidRPr="00000000" w14:paraId="00000030">
      <w:pPr>
        <w:rPr/>
      </w:pPr>
      <w:r w:rsidDel="00000000" w:rsidR="00000000" w:rsidRPr="00000000">
        <w:rPr>
          <w:rtl w:val="0"/>
        </w:rPr>
        <w:t xml:space="preserve">Set up an online </w:t>
      </w:r>
      <w:hyperlink r:id="rId7">
        <w:r w:rsidDel="00000000" w:rsidR="00000000" w:rsidRPr="00000000">
          <w:rPr>
            <w:color w:val="0000ff"/>
            <w:u w:val="single"/>
            <w:rtl w:val="0"/>
          </w:rPr>
          <w:t xml:space="preserve">Government Gateway account</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Apply for the extended entitlement </w:t>
      </w:r>
      <w:hyperlink r:id="rId8">
        <w:r w:rsidDel="00000000" w:rsidR="00000000" w:rsidRPr="00000000">
          <w:rPr>
            <w:color w:val="0000ff"/>
            <w:u w:val="single"/>
            <w:rtl w:val="0"/>
          </w:rPr>
          <w:t xml:space="preserve">here</w:t>
        </w:r>
      </w:hyperlink>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 xml:space="preserve">Complete a parent declaration form provided from each childcare provider with your 11 digit code for each child accessing the additional hours.</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We will then verify the eligibility code with Bexley Council and process your application accordingly  </w:t>
      </w:r>
    </w:p>
    <w:p w:rsidR="00000000" w:rsidDel="00000000" w:rsidP="00000000" w:rsidRDefault="00000000" w:rsidRPr="00000000" w14:paraId="00000034">
      <w:pPr>
        <w:rPr/>
      </w:pPr>
      <w:r w:rsidDel="00000000" w:rsidR="00000000" w:rsidRPr="00000000">
        <w:rPr>
          <w:rtl w:val="0"/>
        </w:rPr>
        <w:t xml:space="preserve">We will confirm a place has been secured for your child (and you will identify the provider for universal 15 hours) once the code has been verified.</w:t>
      </w:r>
    </w:p>
    <w:p w:rsidR="00000000" w:rsidDel="00000000" w:rsidP="00000000" w:rsidRDefault="00000000" w:rsidRPr="00000000" w14:paraId="00000035">
      <w:pPr>
        <w:rPr/>
      </w:pPr>
      <w:r w:rsidDel="00000000" w:rsidR="00000000" w:rsidRPr="00000000">
        <w:rPr>
          <w:rtl w:val="0"/>
        </w:rPr>
        <w:t xml:space="preserve">Any additional services or hours above entitlement must be agreed for and paid for by you the parent/carer</w:t>
      </w:r>
    </w:p>
    <w:p w:rsidR="00000000" w:rsidDel="00000000" w:rsidP="00000000" w:rsidRDefault="00000000" w:rsidRPr="00000000" w14:paraId="00000036">
      <w:pPr>
        <w:rPr/>
      </w:pPr>
      <w:r w:rsidDel="00000000" w:rsidR="00000000" w:rsidRPr="00000000">
        <w:rPr>
          <w:rtl w:val="0"/>
        </w:rPr>
        <w:t xml:space="preserve">A parent needs to re-confirm eligibility every 3 months with HMRC.</w:t>
      </w:r>
    </w:p>
    <w:p w:rsidR="00000000" w:rsidDel="00000000" w:rsidP="00000000" w:rsidRDefault="00000000" w:rsidRPr="00000000" w14:paraId="00000037">
      <w:pPr>
        <w:rPr/>
      </w:pPr>
      <w:r w:rsidDel="00000000" w:rsidR="00000000" w:rsidRPr="00000000">
        <w:rPr>
          <w:rtl w:val="0"/>
        </w:rPr>
        <w:t xml:space="preserve">If you fall out of eligibility, you will enter a grace period which will enable access to the funded place until that grace period ends.</w:t>
      </w:r>
    </w:p>
    <w:p w:rsidR="00000000" w:rsidDel="00000000" w:rsidP="00000000" w:rsidRDefault="00000000" w:rsidRPr="00000000" w14:paraId="0000003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hildcarechoices.gov.uk/" TargetMode="External"/><Relationship Id="rId7" Type="http://schemas.openxmlformats.org/officeDocument/2006/relationships/hyperlink" Target="http://www.gateway.gov.uk/" TargetMode="External"/><Relationship Id="rId8" Type="http://schemas.openxmlformats.org/officeDocument/2006/relationships/hyperlink" Target="https://www.gov.uk/help-with-childcare-costs/free-childcare-and-education-for-2-to-4-year-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